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3728"/>
      </w:tblGrid>
      <w:tr w:rsidR="006F70A7" w:rsidRPr="00153D7F" w:rsidTr="0076008C">
        <w:trPr>
          <w:trHeight w:val="1839"/>
        </w:trPr>
        <w:tc>
          <w:tcPr>
            <w:tcW w:w="3969" w:type="dxa"/>
            <w:vAlign w:val="center"/>
          </w:tcPr>
          <w:p w:rsidR="006F70A7" w:rsidRPr="00153D7F" w:rsidRDefault="006F70A7" w:rsidP="0076008C">
            <w:pPr>
              <w:pStyle w:val="a7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53D7F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153D7F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F70A7" w:rsidRPr="00153D7F" w:rsidRDefault="006F70A7" w:rsidP="0076008C">
            <w:pPr>
              <w:pStyle w:val="a7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proofErr w:type="spellEnd"/>
            <w:r w:rsidRPr="00153D7F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Төрөшлө</w:t>
            </w:r>
            <w:proofErr w:type="spellEnd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153D7F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хакимиəте</w:t>
            </w:r>
            <w:proofErr w:type="spellEnd"/>
          </w:p>
          <w:p w:rsidR="006F70A7" w:rsidRPr="00153D7F" w:rsidRDefault="006F70A7" w:rsidP="0076008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70A7" w:rsidRPr="00153D7F" w:rsidRDefault="006F70A7" w:rsidP="0076008C">
            <w:pPr>
              <w:pStyle w:val="a7"/>
              <w:jc w:val="center"/>
              <w:rPr>
                <w:sz w:val="24"/>
                <w:szCs w:val="24"/>
              </w:rPr>
            </w:pPr>
            <w:r w:rsidRPr="00153D7F">
              <w:rPr>
                <w:noProof/>
                <w:sz w:val="24"/>
                <w:szCs w:val="24"/>
              </w:rPr>
              <w:drawing>
                <wp:inline distT="0" distB="0" distL="0" distR="0" wp14:anchorId="6C17F909" wp14:editId="6EB9AF86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vAlign w:val="center"/>
          </w:tcPr>
          <w:p w:rsidR="006F70A7" w:rsidRPr="00153D7F" w:rsidRDefault="006F70A7" w:rsidP="0076008C">
            <w:pPr>
              <w:pStyle w:val="a7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Тюрюшлинский сельсовет</w:t>
            </w:r>
          </w:p>
          <w:p w:rsidR="006F70A7" w:rsidRPr="00153D7F" w:rsidRDefault="006F70A7" w:rsidP="0076008C">
            <w:pPr>
              <w:pStyle w:val="a7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6F70A7" w:rsidRPr="00153D7F" w:rsidRDefault="006F70A7" w:rsidP="0076008C">
            <w:pPr>
              <w:pStyle w:val="a7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</w:t>
            </w:r>
            <w:proofErr w:type="spellEnd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 Республики Башкортостан</w:t>
            </w:r>
          </w:p>
        </w:tc>
      </w:tr>
      <w:tr w:rsidR="006F70A7" w:rsidRPr="00153D7F" w:rsidTr="0076008C">
        <w:trPr>
          <w:cantSplit/>
        </w:trPr>
        <w:tc>
          <w:tcPr>
            <w:tcW w:w="9540" w:type="dxa"/>
            <w:gridSpan w:val="3"/>
          </w:tcPr>
          <w:p w:rsidR="006F70A7" w:rsidRPr="00153D7F" w:rsidRDefault="006F70A7" w:rsidP="0076008C">
            <w:pPr>
              <w:pStyle w:val="a7"/>
              <w:jc w:val="center"/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ОГРН-</w:t>
            </w:r>
            <w:proofErr w:type="gramStart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1090242000276,  ИНН</w:t>
            </w:r>
            <w:proofErr w:type="gramEnd"/>
            <w:r w:rsidRPr="00153D7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- 0242008320, КПП – 024201001, ОКАТО – 80249888000, ОКВЭД – 75.11.32, ОКПО – 04284307  тел. (3473)277844,277825, </w:t>
            </w:r>
            <w:r w:rsidRPr="00153D7F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turushli-sovet@yandex.ru</w:t>
            </w:r>
          </w:p>
        </w:tc>
      </w:tr>
    </w:tbl>
    <w:p w:rsidR="006F70A7" w:rsidRPr="00153D7F" w:rsidRDefault="006F70A7" w:rsidP="006F70A7">
      <w:pPr>
        <w:pBdr>
          <w:bottom w:val="single" w:sz="12" w:space="1" w:color="auto"/>
        </w:pBdr>
        <w:ind w:left="708"/>
        <w:rPr>
          <w:rFonts w:ascii="Times New Roman" w:hAnsi="Times New Roman" w:cs="Times New Roman"/>
          <w:sz w:val="24"/>
          <w:szCs w:val="24"/>
        </w:rPr>
      </w:pPr>
      <w:r w:rsidRPr="00153D7F">
        <w:rPr>
          <w:rFonts w:ascii="Times New Roman" w:hAnsi="Times New Roman" w:cs="Times New Roman"/>
          <w:sz w:val="24"/>
          <w:szCs w:val="24"/>
        </w:rPr>
        <w:t xml:space="preserve">453144, </w:t>
      </w:r>
      <w:proofErr w:type="spellStart"/>
      <w:r w:rsidRPr="00153D7F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153D7F">
        <w:rPr>
          <w:rFonts w:ascii="Times New Roman" w:hAnsi="Times New Roman" w:cs="Times New Roman"/>
          <w:sz w:val="24"/>
          <w:szCs w:val="24"/>
        </w:rPr>
        <w:t xml:space="preserve"> район с. </w:t>
      </w:r>
      <w:proofErr w:type="spellStart"/>
      <w:r w:rsidRPr="00153D7F">
        <w:rPr>
          <w:rFonts w:ascii="Times New Roman" w:hAnsi="Times New Roman" w:cs="Times New Roman"/>
          <w:sz w:val="24"/>
          <w:szCs w:val="24"/>
        </w:rPr>
        <w:t>Тюрюшля</w:t>
      </w:r>
      <w:proofErr w:type="spellEnd"/>
      <w:r w:rsidRPr="00153D7F">
        <w:rPr>
          <w:rFonts w:ascii="Times New Roman" w:hAnsi="Times New Roman" w:cs="Times New Roman"/>
          <w:sz w:val="24"/>
          <w:szCs w:val="24"/>
        </w:rPr>
        <w:t xml:space="preserve"> ул. Центральная д. 43-г</w:t>
      </w:r>
    </w:p>
    <w:tbl>
      <w:tblPr>
        <w:tblpPr w:leftFromText="180" w:rightFromText="180" w:vertAnchor="text" w:horzAnchor="margin" w:tblpXSpec="right" w:tblpY="166"/>
        <w:tblW w:w="0" w:type="auto"/>
        <w:tblLook w:val="01E0" w:firstRow="1" w:lastRow="1" w:firstColumn="1" w:lastColumn="1" w:noHBand="0" w:noVBand="0"/>
      </w:tblPr>
      <w:tblGrid>
        <w:gridCol w:w="222"/>
      </w:tblGrid>
      <w:tr w:rsidR="006F70A7" w:rsidTr="0076008C">
        <w:tc>
          <w:tcPr>
            <w:tcW w:w="0" w:type="auto"/>
          </w:tcPr>
          <w:p w:rsidR="006F70A7" w:rsidRDefault="006F70A7" w:rsidP="0076008C">
            <w:pPr>
              <w:rPr>
                <w:szCs w:val="28"/>
              </w:rPr>
            </w:pPr>
          </w:p>
        </w:tc>
      </w:tr>
    </w:tbl>
    <w:p w:rsidR="00F936A6" w:rsidRPr="00B736D4" w:rsidRDefault="00F936A6" w:rsidP="00F93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936A6" w:rsidRPr="00B736D4" w:rsidRDefault="008F00E4" w:rsidP="008F00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67                                                                                   от 21 декабря 2015года                     </w:t>
      </w:r>
    </w:p>
    <w:p w:rsidR="00F936A6" w:rsidRPr="00B736D4" w:rsidRDefault="00F936A6" w:rsidP="00117D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="005948B0" w:rsidRPr="00B73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 на официальном сайте сельского поселения</w:t>
      </w:r>
      <w:r w:rsidRPr="00B73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ежеквартальных сведений о численности муниципальных служащих органов местного самоуправления сельского поселения </w:t>
      </w:r>
      <w:r w:rsidR="006F70A7" w:rsidRPr="00B73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Тюрюшлинский</w:t>
      </w:r>
      <w:r w:rsidRPr="00B73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F936A6" w:rsidRPr="00B736D4" w:rsidRDefault="00F936A6" w:rsidP="00F936A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внесенное прокуратурой Стерлитамакского района Республики Башкортостан представление об устранении нарушений законодательства о доступе к информации, в соответствии со статьей 52 Федерального закона от 6 октября 2003 года № 131 - ФЗ «Об общих принципах организации местного самоуправления в Российской Федерации», руководствуясь статьей 36 Бюджетного кодекса Российской Федерации, статьей 13 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</w:r>
      <w:r w:rsidR="00760D9C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="008E74DA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Тюрюшлинский</w:t>
      </w:r>
      <w:r w:rsidR="00760D9C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</w:p>
    <w:p w:rsidR="00F936A6" w:rsidRPr="00B736D4" w:rsidRDefault="00F936A6" w:rsidP="00F936A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117D9A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6A6" w:rsidRPr="00B736D4" w:rsidRDefault="00F936A6" w:rsidP="0070680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 w:rsidR="00BC2DA7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 официальном сайте сельского поселения</w:t>
      </w: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ежеквартальных сведений о численности муниципальных служащих органов местного самоуправления сельского поселения </w:t>
      </w:r>
      <w:r w:rsidR="004A6F1B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Тюрюшлинский</w:t>
      </w: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 (прилагается).</w:t>
      </w:r>
    </w:p>
    <w:p w:rsidR="00F936A6" w:rsidRPr="00B736D4" w:rsidRDefault="00F936A6" w:rsidP="0070680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</w:t>
      </w:r>
      <w:r w:rsidR="00760D9C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</w:t>
      </w: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760D9C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в установленном порядке на официальном сайте сельского поселения </w:t>
      </w:r>
      <w:r w:rsidR="00B736D4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Тюрюшлинский сельсовет</w:t>
      </w: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«Интернет»</w:t>
      </w:r>
      <w:r w:rsidR="004A6F1B" w:rsidRPr="00B736D4">
        <w:rPr>
          <w:rFonts w:eastAsia="Calibri"/>
          <w:sz w:val="28"/>
          <w:szCs w:val="28"/>
        </w:rPr>
        <w:t xml:space="preserve"> </w:t>
      </w:r>
      <w:hyperlink r:id="rId5" w:history="1">
        <w:r w:rsidR="004A6F1B" w:rsidRPr="00B736D4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="004A6F1B" w:rsidRPr="00B736D4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="004A6F1B" w:rsidRPr="00B736D4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str</w:t>
        </w:r>
        <w:r w:rsidR="004A6F1B" w:rsidRPr="00B736D4">
          <w:rPr>
            <w:rFonts w:ascii="Times New Roman" w:eastAsia="Calibri" w:hAnsi="Times New Roman" w:cs="Times New Roman"/>
            <w:color w:val="0000FF"/>
            <w:sz w:val="28"/>
            <w:szCs w:val="28"/>
          </w:rPr>
          <w:t>-</w:t>
        </w:r>
        <w:r w:rsidR="004A6F1B" w:rsidRPr="00B736D4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raion</w:t>
        </w:r>
        <w:r w:rsidR="004A6F1B" w:rsidRPr="00B736D4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="004A6F1B" w:rsidRPr="00B736D4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4A6F1B" w:rsidRPr="00B736D4">
        <w:rPr>
          <w:rFonts w:ascii="Times New Roman" w:eastAsia="Calibri" w:hAnsi="Times New Roman" w:cs="Times New Roman"/>
          <w:sz w:val="28"/>
          <w:szCs w:val="28"/>
        </w:rPr>
        <w:t xml:space="preserve"> (страница сельского поселения Тюрюшлинский сельсовет муниципального района </w:t>
      </w:r>
      <w:proofErr w:type="spellStart"/>
      <w:r w:rsidR="004A6F1B" w:rsidRPr="00B736D4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="004A6F1B" w:rsidRPr="00B736D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A71398">
        <w:rPr>
          <w:rFonts w:ascii="Times New Roman" w:eastAsia="Calibri" w:hAnsi="Times New Roman" w:cs="Times New Roman"/>
          <w:sz w:val="28"/>
          <w:szCs w:val="28"/>
        </w:rPr>
        <w:t>)</w:t>
      </w: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931" w:rsidRPr="00B736D4" w:rsidRDefault="00F936A6" w:rsidP="0070680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77931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</w:t>
      </w:r>
      <w:r w:rsidR="00760D9C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77931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комитет Республики Башкортостан по делам юстиции.</w:t>
      </w:r>
    </w:p>
    <w:p w:rsidR="00677931" w:rsidRPr="00B736D4" w:rsidRDefault="00F936A6" w:rsidP="0070680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 w:rsidR="00677931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60D9C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677931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931" w:rsidRPr="008B07B3" w:rsidRDefault="00677931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B3" w:rsidRPr="008B07B3" w:rsidRDefault="008B07B3" w:rsidP="008B07B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B07B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B07B3" w:rsidRPr="008B07B3" w:rsidRDefault="008B07B3" w:rsidP="008B07B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B07B3">
        <w:rPr>
          <w:rFonts w:ascii="Times New Roman" w:hAnsi="Times New Roman" w:cs="Times New Roman"/>
          <w:sz w:val="28"/>
          <w:szCs w:val="28"/>
        </w:rPr>
        <w:t xml:space="preserve">Тюрюшлинский сельсовет </w:t>
      </w:r>
    </w:p>
    <w:p w:rsidR="008B07B3" w:rsidRPr="008B07B3" w:rsidRDefault="008B07B3" w:rsidP="008B07B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B07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B07B3" w:rsidRPr="008B07B3" w:rsidRDefault="008B07B3" w:rsidP="008B07B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07B3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8B07B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B07B3" w:rsidRPr="008B07B3" w:rsidRDefault="008B07B3" w:rsidP="008B07B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8B07B3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Н.А. Федорова</w:t>
      </w:r>
    </w:p>
    <w:p w:rsidR="00677931" w:rsidRPr="00B736D4" w:rsidRDefault="00677931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31" w:rsidRPr="00B736D4" w:rsidRDefault="00677931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31" w:rsidRDefault="00677931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58" w:rsidRDefault="001D6858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58" w:rsidRDefault="001D6858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58" w:rsidRDefault="001D6858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58" w:rsidRDefault="001D6858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58" w:rsidRDefault="001D6858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58" w:rsidRDefault="001D6858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58" w:rsidRDefault="001D6858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58" w:rsidRDefault="001D6858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58" w:rsidRDefault="001D6858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58" w:rsidRDefault="001D6858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DE" w:rsidRDefault="00201BDE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DE" w:rsidRDefault="00201BDE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58" w:rsidRDefault="001D6858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931" w:rsidRDefault="00677931" w:rsidP="006779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677931" w:rsidRDefault="00677931" w:rsidP="006779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 постановлением администрации сельского поселения</w:t>
      </w:r>
    </w:p>
    <w:p w:rsidR="00677931" w:rsidRDefault="00BE372D" w:rsidP="006779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Тюрюшлинский</w:t>
      </w:r>
      <w:r w:rsidR="00677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</w:t>
      </w:r>
      <w:r w:rsidR="0067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931" w:rsidRPr="00677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района Стерлитамакский район </w:t>
      </w:r>
    </w:p>
    <w:p w:rsidR="00677931" w:rsidRDefault="00677931" w:rsidP="006779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Республики Башкортостан от </w:t>
      </w:r>
      <w:r w:rsidR="00201BDE">
        <w:rPr>
          <w:rFonts w:ascii="Times New Roman" w:eastAsia="Times New Roman" w:hAnsi="Times New Roman" w:cs="Times New Roman"/>
          <w:sz w:val="16"/>
          <w:szCs w:val="16"/>
          <w:lang w:eastAsia="ru-RU"/>
        </w:rPr>
        <w:t>21 декабря 2015 г. № 67</w:t>
      </w:r>
      <w:bookmarkStart w:id="0" w:name="_GoBack"/>
      <w:bookmarkEnd w:id="0"/>
      <w:r w:rsidRPr="006779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</w:p>
    <w:p w:rsidR="00677931" w:rsidRDefault="00677931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A6" w:rsidRPr="00F936A6" w:rsidRDefault="00F936A6" w:rsidP="006779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77931" w:rsidRPr="0067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ОРЯДОК </w:t>
      </w:r>
      <w:r w:rsidR="00BC2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НА ОФИЦИАЛЬНОМ САЙТЕ СЕЛЬСКОГО ПОСЕЛЕНИЯ</w:t>
      </w:r>
      <w:r w:rsidR="00677931" w:rsidRPr="0067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ЕЖЕКВАРТАЛЬНЫХ СВЕДЕНИЙ О ЧИСЛЕННОСТИ МУНИЦИПАЛЬНЫХ СЛУЖАЩИХ ОРГАНОВ МЕСТНОГО САМОУПРАВЛЕНИ</w:t>
      </w:r>
      <w:r w:rsidR="00BE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СЕЛЬСКОГО ПОСЕЛЕНИЯ ТЮРЮШЛИНСКИЙ</w:t>
      </w:r>
      <w:r w:rsidR="00677931" w:rsidRPr="00677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 </w:t>
      </w:r>
    </w:p>
    <w:p w:rsidR="00F936A6" w:rsidRPr="00F936A6" w:rsidRDefault="00F936A6" w:rsidP="006779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F936A6" w:rsidRPr="00F936A6" w:rsidRDefault="00F936A6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BC2DA7" w:rsidRPr="00BC2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официальном сайте сельского поселения</w:t>
      </w:r>
      <w:r w:rsidR="00677931" w:rsidRPr="0067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ежеквартальных сведений о численности муниципальных служащих органов местного самоуправления сельского поселения </w:t>
      </w:r>
      <w:r w:rsidR="00A71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Тюрюшлинский</w:t>
      </w:r>
      <w:r w:rsidR="00677931" w:rsidRPr="0067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  <w:r w:rsidR="0067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частью 6 статьи 52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677931" w:rsidRPr="00677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36 Бюджетного кодекса Российской Федерации, статьей 13 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6A6" w:rsidRDefault="00F936A6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</w:t>
      </w:r>
      <w:r w:rsidR="00BC2DA7" w:rsidRPr="00BC2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официальном сайте сельского поселения</w:t>
      </w:r>
      <w:r w:rsidR="0067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ежеквартальных сведений о численности муниципальных служащих </w:t>
      </w:r>
      <w:r w:rsidR="00677931" w:rsidRPr="0067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сельского поселения </w:t>
      </w:r>
      <w:r w:rsidR="00A71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Тюрюшлинский</w:t>
      </w:r>
      <w:r w:rsidR="00677931" w:rsidRPr="0067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 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Порядок), устанавливает процедуру официального опубликования вышеуказанных ежеквартальных сведений.</w:t>
      </w:r>
    </w:p>
    <w:p w:rsidR="00F936A6" w:rsidRPr="00F936A6" w:rsidRDefault="00F936A6" w:rsidP="00F26C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D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BC2DA7" w:rsidRPr="00BC2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на официальном сайте сельского поселения</w:t>
      </w:r>
      <w:r w:rsidRPr="00F9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2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</w:t>
      </w:r>
      <w:r w:rsidRPr="00F9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численности муниципальных служащих </w:t>
      </w:r>
      <w:r w:rsidR="00F26C72" w:rsidRPr="00F26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</w:t>
      </w:r>
      <w:r w:rsidR="00A71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сельского поселения </w:t>
      </w:r>
      <w:r w:rsidR="00A71398" w:rsidRPr="00A71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Тюрюшлинский </w:t>
      </w:r>
      <w:r w:rsidR="00A71398" w:rsidRPr="00F26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r w:rsidR="00F26C72" w:rsidRPr="00F26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="00F26C72" w:rsidRPr="00F26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Стерлитамакский</w:t>
      </w:r>
      <w:proofErr w:type="spellEnd"/>
      <w:r w:rsidR="00F26C72" w:rsidRPr="00F26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фактических затрат на их денежное содержание</w:t>
      </w:r>
    </w:p>
    <w:p w:rsidR="00F936A6" w:rsidRPr="0029664D" w:rsidRDefault="00F936A6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E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численности муниципальных служащих о</w:t>
      </w:r>
      <w:r w:rsid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рганов местного самоуправления </w:t>
      </w:r>
      <w:r w:rsidR="00F26C72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71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Тюрюшлинский</w:t>
      </w:r>
      <w:r w:rsidR="00A71398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C72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26C72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</w:t>
      </w:r>
      <w:proofErr w:type="spellEnd"/>
      <w:r w:rsidR="00F26C72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фактических затрат на их денежное содержание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4E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ответственным должностным лицом администрации </w:t>
      </w:r>
      <w:r w:rsidR="00F26C72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71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Тюрюшлинский</w:t>
      </w:r>
      <w:r w:rsidR="00F26C72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26C72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</w:t>
      </w:r>
      <w:proofErr w:type="spellEnd"/>
      <w:r w:rsidR="00F26C72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C2DA7" w:rsidRPr="00BC2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</w:t>
      </w:r>
      <w:r w:rsidR="00BC2DA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 w:rsidR="00BC2DA7" w:rsidRPr="00BC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сельского поселения</w:t>
      </w:r>
      <w:r w:rsid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сельского поселения </w:t>
      </w:r>
      <w:r w:rsidR="00A71398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Тюрюшлинский</w:t>
      </w:r>
      <w:r w:rsid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CD7EEA"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CD7EEA"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</w:t>
      </w:r>
      <w:proofErr w:type="spellEnd"/>
      <w:r w:rsidR="00CD7EEA"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сети «Интернет» </w:t>
      </w:r>
      <w:hyperlink r:id="rId6" w:history="1">
        <w:r w:rsidR="00A71398" w:rsidRPr="00A71398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www</w:t>
        </w:r>
        <w:r w:rsidR="00A71398" w:rsidRPr="00A71398">
          <w:rPr>
            <w:rFonts w:ascii="Times New Roman" w:eastAsia="Calibri" w:hAnsi="Times New Roman" w:cs="Times New Roman"/>
            <w:color w:val="0000FF"/>
            <w:sz w:val="24"/>
            <w:szCs w:val="24"/>
          </w:rPr>
          <w:t>.</w:t>
        </w:r>
        <w:r w:rsidR="00A71398" w:rsidRPr="00A71398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str</w:t>
        </w:r>
        <w:r w:rsidR="00A71398" w:rsidRPr="00A71398">
          <w:rPr>
            <w:rFonts w:ascii="Times New Roman" w:eastAsia="Calibri" w:hAnsi="Times New Roman" w:cs="Times New Roman"/>
            <w:color w:val="0000FF"/>
            <w:sz w:val="24"/>
            <w:szCs w:val="24"/>
          </w:rPr>
          <w:t>-</w:t>
        </w:r>
        <w:r w:rsidR="00A71398" w:rsidRPr="00A71398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raion</w:t>
        </w:r>
        <w:r w:rsidR="00A71398" w:rsidRPr="00A71398">
          <w:rPr>
            <w:rFonts w:ascii="Times New Roman" w:eastAsia="Calibri" w:hAnsi="Times New Roman" w:cs="Times New Roman"/>
            <w:color w:val="0000FF"/>
            <w:sz w:val="24"/>
            <w:szCs w:val="24"/>
          </w:rPr>
          <w:t>.</w:t>
        </w:r>
        <w:r w:rsidR="00A71398" w:rsidRPr="00A71398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="00A71398" w:rsidRPr="00A71398">
        <w:rPr>
          <w:rFonts w:ascii="Times New Roman" w:eastAsia="Calibri" w:hAnsi="Times New Roman" w:cs="Times New Roman"/>
          <w:sz w:val="24"/>
          <w:szCs w:val="24"/>
        </w:rPr>
        <w:t xml:space="preserve"> (страница сельского поселения Тюрюшлинский сельсовет муниципального района </w:t>
      </w:r>
      <w:proofErr w:type="spellStart"/>
      <w:r w:rsidR="00A71398" w:rsidRPr="00A71398">
        <w:rPr>
          <w:rFonts w:ascii="Times New Roman" w:eastAsia="Calibri" w:hAnsi="Times New Roman" w:cs="Times New Roman"/>
          <w:sz w:val="24"/>
          <w:szCs w:val="24"/>
        </w:rPr>
        <w:t>Стерлитамакский</w:t>
      </w:r>
      <w:proofErr w:type="spellEnd"/>
      <w:r w:rsidR="00A71398" w:rsidRPr="00A7139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Башкортостан)</w:t>
      </w:r>
      <w:r w:rsidR="00A71398" w:rsidRPr="00B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в 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 20 числа 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месяца, следующего за отчетным периодом, по форме, установленной </w:t>
      </w:r>
      <w:r w:rsid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Постановлением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6A6" w:rsidRPr="00F936A6" w:rsidRDefault="00F936A6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должностное лицо </w:t>
      </w:r>
      <w:r w:rsidR="00F26C72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C19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Тюрюшлинский</w:t>
      </w:r>
      <w:r w:rsidR="00F26C72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</w:t>
      </w:r>
      <w:r w:rsid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своевременность, достоверн</w:t>
      </w:r>
      <w:r w:rsidR="004E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предоставляемых </w:t>
      </w:r>
      <w:r w:rsidR="001C2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C72" w:rsidRDefault="00F936A6" w:rsidP="00F26C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утверждения</w:t>
      </w:r>
      <w:r w:rsidR="00BC2DA7" w:rsidRPr="00BC2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размещения на официальном сайте сельского поселения</w:t>
      </w:r>
      <w:r w:rsidRPr="00BC2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ежеквартальных </w:t>
      </w:r>
      <w:r w:rsidRPr="004E2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</w:t>
      </w:r>
      <w:r w:rsidRPr="00F93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численности муниципальных служащих органов </w:t>
      </w:r>
      <w:r w:rsidR="00F26C72" w:rsidRPr="00F26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</w:t>
      </w:r>
      <w:r w:rsidR="008C1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сельского поселения Тюрюшлинский</w:t>
      </w:r>
      <w:r w:rsidR="00F26C72" w:rsidRPr="00F26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F936A6" w:rsidRPr="00F936A6" w:rsidRDefault="00F936A6" w:rsidP="00F26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основании информации, представленной </w:t>
      </w:r>
      <w:r w:rsid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казенным учреждением «Централизованная бухгалтерия сельских поселений муниципального района Стерлитамакский район Республики Башкортостан», </w:t>
      </w:r>
      <w:r w:rsidR="004E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должностное лицо </w:t>
      </w:r>
      <w:r w:rsid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4E2E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C72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C3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Тюрюшлинский</w:t>
      </w:r>
      <w:r w:rsidR="00F26C72" w:rsidRPr="00F2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подготавливаются ежеквартальные </w:t>
      </w:r>
      <w:r w:rsidR="001C2C7D" w:rsidRPr="001C2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="00BC2DA7" w:rsidRPr="001C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муниципальных служащих органов местного самоуправления, и фактических расходов на их денежное содержание.</w:t>
      </w:r>
    </w:p>
    <w:p w:rsidR="00F936A6" w:rsidRPr="00F936A6" w:rsidRDefault="00F936A6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формируются </w:t>
      </w:r>
      <w:r w:rsid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должностным лицом </w:t>
      </w:r>
      <w:r w:rsidR="00CD7EEA" w:rsidRP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7EEA" w:rsidRP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C25F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Тюрюшлинский</w:t>
      </w:r>
      <w:r w:rsidR="00CD7EEA" w:rsidRP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 w:rsid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периодом, по форме согласно приложению к настоящему Порядку и направляются на утверждение </w:t>
      </w:r>
      <w:r w:rsid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6A6" w:rsidRDefault="00F936A6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Глава </w:t>
      </w:r>
      <w:r w:rsidR="00CD7EEA" w:rsidRP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D674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Тюрюшлинский</w:t>
      </w:r>
      <w:r w:rsidR="00CD7EEA" w:rsidRP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CD7EEA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числа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следующего за отчетным периодом, утверждает представленные </w:t>
      </w:r>
      <w:r w:rsidR="001C2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и обеспечивает их </w:t>
      </w:r>
      <w:r w:rsidR="00BC2DA7" w:rsidRPr="00BC2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 w:rsidR="00BC2D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2DA7" w:rsidRPr="00BC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сельского поселения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EEA" w:rsidRDefault="00CD7EEA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EEA" w:rsidRDefault="00CD7EEA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EEA" w:rsidRDefault="00CD7EEA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EEA" w:rsidRDefault="00CD7EEA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8D" w:rsidRDefault="004E2E8D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8D" w:rsidRDefault="004E2E8D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7D" w:rsidRDefault="001C2C7D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EEA" w:rsidRDefault="00CD7EEA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EEA" w:rsidRDefault="00CD7EEA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EEA" w:rsidRDefault="00CD7EEA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EEA" w:rsidRDefault="00CD7EEA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A6" w:rsidRPr="00F936A6" w:rsidRDefault="00F936A6" w:rsidP="00F936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6A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 </w:t>
      </w:r>
      <w:r w:rsidRPr="00F936A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Порядку</w:t>
      </w:r>
      <w:r w:rsidR="00BC2DA7" w:rsidRPr="00BC2D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размещения на официальном сайте сельского поселения</w:t>
      </w:r>
      <w:r w:rsidRPr="00F936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ежеквартальных сведений </w:t>
      </w:r>
      <w:r w:rsidRPr="00F936A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 численности муниципальных служащих органов местного самоуправления </w:t>
      </w:r>
      <w:r w:rsidRPr="00F936A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E9640A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Тюрюшлинский</w:t>
      </w:r>
      <w:r w:rsidR="005E5712" w:rsidRPr="005E57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F936A6" w:rsidRPr="00F936A6" w:rsidRDefault="00F936A6" w:rsidP="005E5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 органов местн</w:t>
      </w:r>
      <w:r w:rsidR="005E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самоуправления </w:t>
      </w:r>
      <w:r w:rsidR="005E5712" w:rsidRPr="005E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E9640A" w:rsidRPr="00E9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Тюрюшлинский</w:t>
      </w:r>
      <w:r w:rsidR="005E5712" w:rsidRPr="005E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F936A6" w:rsidRPr="00F936A6" w:rsidRDefault="00F936A6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___________________________201__года</w:t>
      </w:r>
    </w:p>
    <w:p w:rsidR="00F936A6" w:rsidRPr="00F936A6" w:rsidRDefault="00F936A6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 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(первый квартал, полугодие, девять месяцев, год)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1406"/>
        <w:gridCol w:w="1323"/>
        <w:gridCol w:w="1281"/>
        <w:gridCol w:w="1152"/>
        <w:gridCol w:w="1323"/>
        <w:gridCol w:w="1281"/>
        <w:gridCol w:w="1152"/>
      </w:tblGrid>
      <w:tr w:rsidR="00050134" w:rsidRPr="00BC6E60" w:rsidTr="00050134">
        <w:trPr>
          <w:trHeight w:val="495"/>
        </w:trPr>
        <w:tc>
          <w:tcPr>
            <w:tcW w:w="429" w:type="dxa"/>
            <w:vMerge w:val="restart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40" w:type="dxa"/>
            <w:vMerge w:val="restart"/>
          </w:tcPr>
          <w:p w:rsidR="00050134" w:rsidRPr="00BC6E60" w:rsidRDefault="00050134" w:rsidP="0005013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органа местного самоуправления</w:t>
            </w:r>
          </w:p>
        </w:tc>
        <w:tc>
          <w:tcPr>
            <w:tcW w:w="3819" w:type="dxa"/>
            <w:gridSpan w:val="3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3757" w:type="dxa"/>
            <w:gridSpan w:val="3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050134" w:rsidRPr="00BC6E60" w:rsidTr="00050134">
        <w:trPr>
          <w:trHeight w:val="1265"/>
        </w:trPr>
        <w:tc>
          <w:tcPr>
            <w:tcW w:w="429" w:type="dxa"/>
            <w:vMerge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343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153" w:type="dxa"/>
          </w:tcPr>
          <w:p w:rsidR="00050134" w:rsidRPr="00BC6E60" w:rsidRDefault="00050134" w:rsidP="00050134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23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281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153" w:type="dxa"/>
          </w:tcPr>
          <w:p w:rsidR="00050134" w:rsidRPr="00BC6E60" w:rsidRDefault="00050134" w:rsidP="003060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050134" w:rsidRPr="00BC6E60" w:rsidTr="00050134">
        <w:tc>
          <w:tcPr>
            <w:tcW w:w="429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050134" w:rsidRPr="00BC6E60" w:rsidRDefault="00050134" w:rsidP="0005013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E9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Тюрюшлинский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  <w:tc>
          <w:tcPr>
            <w:tcW w:w="1323" w:type="dxa"/>
          </w:tcPr>
          <w:p w:rsidR="00050134" w:rsidRPr="00BC6E60" w:rsidRDefault="00EE4891" w:rsidP="00306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указания Ф.И.О., только должность согласно штатного расписания)</w:t>
            </w:r>
          </w:p>
        </w:tc>
        <w:tc>
          <w:tcPr>
            <w:tcW w:w="1343" w:type="dxa"/>
          </w:tcPr>
          <w:p w:rsidR="00050134" w:rsidRPr="00BC6E60" w:rsidRDefault="00050134" w:rsidP="0030606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050134" w:rsidRPr="000530F7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050134" w:rsidRPr="000530F7" w:rsidRDefault="0005013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134" w:rsidRPr="00BC6E60" w:rsidTr="00050134">
        <w:tc>
          <w:tcPr>
            <w:tcW w:w="429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3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134" w:rsidRPr="008E7A73" w:rsidTr="00050134">
        <w:tc>
          <w:tcPr>
            <w:tcW w:w="429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050134" w:rsidRPr="008E7A73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050134" w:rsidRPr="008E7A73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050134" w:rsidRPr="008E7A73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050134" w:rsidRPr="008E7A73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050134" w:rsidRPr="008E7A73" w:rsidRDefault="00050134" w:rsidP="0030606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050134" w:rsidRPr="008E7A73" w:rsidRDefault="00050134" w:rsidP="0030606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50134" w:rsidRPr="00BC6E60" w:rsidTr="00050134">
        <w:tc>
          <w:tcPr>
            <w:tcW w:w="429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669C" w:rsidRPr="00F936A6" w:rsidRDefault="00D1669C">
      <w:pPr>
        <w:rPr>
          <w:rFonts w:ascii="Times New Roman" w:hAnsi="Times New Roman" w:cs="Times New Roman"/>
          <w:sz w:val="24"/>
          <w:szCs w:val="24"/>
        </w:rPr>
      </w:pPr>
    </w:p>
    <w:sectPr w:rsidR="00D1669C" w:rsidRPr="00F9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2F"/>
    <w:rsid w:val="00050134"/>
    <w:rsid w:val="00117D9A"/>
    <w:rsid w:val="00136F2F"/>
    <w:rsid w:val="00153D7F"/>
    <w:rsid w:val="001C2C7D"/>
    <w:rsid w:val="001D6858"/>
    <w:rsid w:val="00201BDE"/>
    <w:rsid w:val="0029664D"/>
    <w:rsid w:val="003C25F4"/>
    <w:rsid w:val="003D6743"/>
    <w:rsid w:val="004A6F1B"/>
    <w:rsid w:val="004E0F73"/>
    <w:rsid w:val="004E2E8D"/>
    <w:rsid w:val="005948B0"/>
    <w:rsid w:val="005E5712"/>
    <w:rsid w:val="00677931"/>
    <w:rsid w:val="006F70A7"/>
    <w:rsid w:val="0070680A"/>
    <w:rsid w:val="00760D9C"/>
    <w:rsid w:val="008B07B3"/>
    <w:rsid w:val="008C192C"/>
    <w:rsid w:val="008E74DA"/>
    <w:rsid w:val="008F00E4"/>
    <w:rsid w:val="00A71398"/>
    <w:rsid w:val="00B736D4"/>
    <w:rsid w:val="00BC2DA7"/>
    <w:rsid w:val="00BE372D"/>
    <w:rsid w:val="00CB76F2"/>
    <w:rsid w:val="00CD7EEA"/>
    <w:rsid w:val="00D1669C"/>
    <w:rsid w:val="00E9640A"/>
    <w:rsid w:val="00EE4891"/>
    <w:rsid w:val="00F10F6B"/>
    <w:rsid w:val="00F26C72"/>
    <w:rsid w:val="00F936A6"/>
    <w:rsid w:val="00F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5473-58E9-4FB5-8763-6AC830D3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6A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5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6F70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F70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-raion.ru" TargetMode="External"/><Relationship Id="rId5" Type="http://schemas.openxmlformats.org/officeDocument/2006/relationships/hyperlink" Target="http://www.str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Тюрюшлинский</cp:lastModifiedBy>
  <cp:revision>29</cp:revision>
  <cp:lastPrinted>2015-12-08T06:01:00Z</cp:lastPrinted>
  <dcterms:created xsi:type="dcterms:W3CDTF">2015-12-08T05:35:00Z</dcterms:created>
  <dcterms:modified xsi:type="dcterms:W3CDTF">2015-12-21T12:12:00Z</dcterms:modified>
</cp:coreProperties>
</file>